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BFB" w:rsidRDefault="00B87BFB" w:rsidP="00B87BFB">
      <w:pPr>
        <w:widowControl w:val="0"/>
        <w:autoSpaceDE w:val="0"/>
        <w:autoSpaceDN w:val="0"/>
        <w:adjustRightInd w:val="0"/>
        <w:jc w:val="center"/>
        <w:rPr>
          <w:rFonts w:ascii="Arial" w:hAnsi="Arial" w:cs="Arial"/>
          <w:b/>
          <w:bCs/>
          <w:sz w:val="20"/>
          <w:szCs w:val="20"/>
        </w:rPr>
      </w:pPr>
      <w:r>
        <w:rPr>
          <w:rFonts w:ascii="Arial" w:hAnsi="Arial" w:cs="Arial"/>
          <w:b/>
          <w:bCs/>
          <w:sz w:val="20"/>
          <w:szCs w:val="20"/>
        </w:rPr>
        <w:t>Clerkship: Example of a Clinical Vignette Abstract</w:t>
      </w:r>
    </w:p>
    <w:p w:rsidR="00B87BFB" w:rsidRDefault="00B87BFB" w:rsidP="00B87BFB">
      <w:pPr>
        <w:widowControl w:val="0"/>
        <w:autoSpaceDE w:val="0"/>
        <w:autoSpaceDN w:val="0"/>
        <w:adjustRightInd w:val="0"/>
        <w:jc w:val="center"/>
        <w:rPr>
          <w:rFonts w:ascii="Arial" w:hAnsi="Arial" w:cs="Arial"/>
          <w:b/>
          <w:bCs/>
          <w:sz w:val="20"/>
          <w:szCs w:val="20"/>
        </w:rPr>
      </w:pPr>
      <w:bookmarkStart w:id="0" w:name="_GoBack"/>
      <w:bookmarkEnd w:id="0"/>
    </w:p>
    <w:p w:rsidR="00B87BFB" w:rsidRDefault="00B87BFB" w:rsidP="00B87BFB">
      <w:pPr>
        <w:widowControl w:val="0"/>
        <w:autoSpaceDE w:val="0"/>
        <w:autoSpaceDN w:val="0"/>
        <w:adjustRightInd w:val="0"/>
        <w:rPr>
          <w:rFonts w:ascii="Arial" w:hAnsi="Arial" w:cs="Arial"/>
          <w:sz w:val="20"/>
          <w:szCs w:val="20"/>
        </w:rPr>
      </w:pPr>
      <w:r w:rsidRPr="00B87BFB">
        <w:rPr>
          <w:rFonts w:ascii="Arial" w:hAnsi="Arial" w:cs="Arial"/>
          <w:b/>
          <w:bCs/>
          <w:sz w:val="20"/>
          <w:szCs w:val="20"/>
        </w:rPr>
        <w:t>Title:</w:t>
      </w:r>
      <w:r w:rsidRPr="00B87BFB">
        <w:rPr>
          <w:rFonts w:ascii="Arial" w:hAnsi="Arial" w:cs="Arial"/>
          <w:sz w:val="20"/>
          <w:szCs w:val="20"/>
        </w:rPr>
        <w:t xml:space="preserve"> The danger of drugs: A case of drug-induced aplastic anemia</w:t>
      </w:r>
    </w:p>
    <w:p w:rsidR="00B87BFB" w:rsidRPr="00B87BFB" w:rsidRDefault="00B87BFB" w:rsidP="00B87BFB">
      <w:pPr>
        <w:widowControl w:val="0"/>
        <w:autoSpaceDE w:val="0"/>
        <w:autoSpaceDN w:val="0"/>
        <w:adjustRightInd w:val="0"/>
        <w:rPr>
          <w:rFonts w:ascii="Arial" w:hAnsi="Arial" w:cs="Arial"/>
          <w:sz w:val="20"/>
          <w:szCs w:val="20"/>
        </w:rPr>
      </w:pPr>
    </w:p>
    <w:p w:rsidR="00B87BFB" w:rsidRDefault="00B87BFB" w:rsidP="00B87BFB">
      <w:pPr>
        <w:widowControl w:val="0"/>
        <w:autoSpaceDE w:val="0"/>
        <w:autoSpaceDN w:val="0"/>
        <w:adjustRightInd w:val="0"/>
        <w:rPr>
          <w:rFonts w:ascii="Arial" w:hAnsi="Arial" w:cs="Arial"/>
          <w:sz w:val="20"/>
          <w:szCs w:val="20"/>
        </w:rPr>
      </w:pPr>
      <w:r w:rsidRPr="00B87BFB">
        <w:rPr>
          <w:rFonts w:ascii="Arial" w:hAnsi="Arial" w:cs="Arial"/>
          <w:b/>
          <w:bCs/>
          <w:sz w:val="20"/>
          <w:szCs w:val="20"/>
        </w:rPr>
        <w:t>Author:</w:t>
      </w:r>
      <w:r w:rsidRPr="00B87BFB">
        <w:rPr>
          <w:rFonts w:ascii="Arial" w:hAnsi="Arial" w:cs="Arial"/>
          <w:sz w:val="20"/>
          <w:szCs w:val="20"/>
        </w:rPr>
        <w:t xml:space="preserve"> Marcie Rome</w:t>
      </w:r>
    </w:p>
    <w:p w:rsidR="00B87BFB" w:rsidRPr="00B87BFB" w:rsidRDefault="00B87BFB" w:rsidP="00B87BFB">
      <w:pPr>
        <w:widowControl w:val="0"/>
        <w:autoSpaceDE w:val="0"/>
        <w:autoSpaceDN w:val="0"/>
        <w:adjustRightInd w:val="0"/>
        <w:rPr>
          <w:rFonts w:ascii="Arial" w:hAnsi="Arial" w:cs="Arial"/>
          <w:sz w:val="20"/>
          <w:szCs w:val="20"/>
        </w:rPr>
      </w:pPr>
    </w:p>
    <w:p w:rsidR="00B87BFB" w:rsidRDefault="00B87BFB" w:rsidP="00B87BFB">
      <w:pPr>
        <w:widowControl w:val="0"/>
        <w:autoSpaceDE w:val="0"/>
        <w:autoSpaceDN w:val="0"/>
        <w:adjustRightInd w:val="0"/>
        <w:rPr>
          <w:rFonts w:ascii="Arial" w:hAnsi="Arial" w:cs="Arial"/>
          <w:sz w:val="20"/>
          <w:szCs w:val="20"/>
        </w:rPr>
      </w:pPr>
      <w:r w:rsidRPr="00B87BFB">
        <w:rPr>
          <w:rFonts w:ascii="Arial" w:hAnsi="Arial" w:cs="Arial"/>
          <w:b/>
          <w:bCs/>
          <w:sz w:val="20"/>
          <w:szCs w:val="20"/>
        </w:rPr>
        <w:t>Introduction:</w:t>
      </w:r>
      <w:r w:rsidRPr="00B87BFB">
        <w:rPr>
          <w:rFonts w:ascii="Arial" w:hAnsi="Arial" w:cs="Arial"/>
          <w:sz w:val="20"/>
          <w:szCs w:val="20"/>
        </w:rPr>
        <w:t xml:space="preserve"> This is the case of a patient presenting with severe aplastic anemia after initiating treatment with a new anti-epileptic drug regimen. Her symptoms went undetected for months in the absence of drug safety monitoring or clinical follow-up.</w:t>
      </w:r>
    </w:p>
    <w:p w:rsidR="00B87BFB" w:rsidRPr="00B87BFB" w:rsidRDefault="00B87BFB" w:rsidP="00B87BFB">
      <w:pPr>
        <w:widowControl w:val="0"/>
        <w:autoSpaceDE w:val="0"/>
        <w:autoSpaceDN w:val="0"/>
        <w:adjustRightInd w:val="0"/>
        <w:rPr>
          <w:rFonts w:ascii="Arial" w:hAnsi="Arial" w:cs="Arial"/>
          <w:sz w:val="20"/>
          <w:szCs w:val="20"/>
        </w:rPr>
      </w:pPr>
    </w:p>
    <w:p w:rsidR="00B87BFB" w:rsidRPr="00B87BFB" w:rsidRDefault="00B87BFB" w:rsidP="00B87BFB">
      <w:pPr>
        <w:widowControl w:val="0"/>
        <w:autoSpaceDE w:val="0"/>
        <w:autoSpaceDN w:val="0"/>
        <w:adjustRightInd w:val="0"/>
        <w:rPr>
          <w:rFonts w:ascii="Arial" w:hAnsi="Arial" w:cs="Arial"/>
          <w:sz w:val="20"/>
          <w:szCs w:val="20"/>
        </w:rPr>
      </w:pPr>
      <w:r w:rsidRPr="00B87BFB">
        <w:rPr>
          <w:rFonts w:ascii="Arial" w:hAnsi="Arial" w:cs="Arial"/>
          <w:b/>
          <w:bCs/>
          <w:sz w:val="20"/>
          <w:szCs w:val="20"/>
        </w:rPr>
        <w:t>Case Description:</w:t>
      </w:r>
      <w:r w:rsidRPr="00B87BFB">
        <w:rPr>
          <w:rFonts w:ascii="Arial" w:hAnsi="Arial" w:cs="Arial"/>
          <w:sz w:val="20"/>
          <w:szCs w:val="20"/>
        </w:rPr>
        <w:t xml:space="preserve"> The patient is a 63-year-old Caucasian female who presented to a tertiary care facility complaining of a two-month history of </w:t>
      </w:r>
      <w:proofErr w:type="spellStart"/>
      <w:r w:rsidRPr="00B87BFB">
        <w:rPr>
          <w:rFonts w:ascii="Arial" w:hAnsi="Arial" w:cs="Arial"/>
          <w:sz w:val="20"/>
          <w:szCs w:val="20"/>
        </w:rPr>
        <w:t>petechiae</w:t>
      </w:r>
      <w:proofErr w:type="spellEnd"/>
      <w:r w:rsidRPr="00B87BFB">
        <w:rPr>
          <w:rFonts w:ascii="Arial" w:hAnsi="Arial" w:cs="Arial"/>
          <w:sz w:val="20"/>
          <w:szCs w:val="20"/>
        </w:rPr>
        <w:t xml:space="preserve"> and </w:t>
      </w:r>
      <w:proofErr w:type="spellStart"/>
      <w:r w:rsidRPr="00B87BFB">
        <w:rPr>
          <w:rFonts w:ascii="Arial" w:hAnsi="Arial" w:cs="Arial"/>
          <w:sz w:val="20"/>
          <w:szCs w:val="20"/>
        </w:rPr>
        <w:t>ecchymoses</w:t>
      </w:r>
      <w:proofErr w:type="spellEnd"/>
      <w:r w:rsidRPr="00B87BFB">
        <w:rPr>
          <w:rFonts w:ascii="Arial" w:hAnsi="Arial" w:cs="Arial"/>
          <w:sz w:val="20"/>
          <w:szCs w:val="20"/>
        </w:rPr>
        <w:t xml:space="preserve"> on her upper and lower </w:t>
      </w:r>
      <w:proofErr w:type="spellStart"/>
      <w:r w:rsidRPr="00B87BFB">
        <w:rPr>
          <w:rFonts w:ascii="Arial" w:hAnsi="Arial" w:cs="Arial"/>
          <w:sz w:val="20"/>
          <w:szCs w:val="20"/>
        </w:rPr>
        <w:t>extremeties</w:t>
      </w:r>
      <w:proofErr w:type="spellEnd"/>
      <w:r w:rsidRPr="00B87BFB">
        <w:rPr>
          <w:rFonts w:ascii="Arial" w:hAnsi="Arial" w:cs="Arial"/>
          <w:sz w:val="20"/>
          <w:szCs w:val="20"/>
        </w:rPr>
        <w:t>, fatigue, and pallor. Her decision to seek treatment at t</w:t>
      </w:r>
      <w:r>
        <w:rPr>
          <w:rFonts w:ascii="Arial" w:hAnsi="Arial" w:cs="Arial"/>
          <w:sz w:val="20"/>
          <w:szCs w:val="20"/>
        </w:rPr>
        <w:t>he hospital was prompted by a three-</w:t>
      </w:r>
      <w:r w:rsidRPr="00B87BFB">
        <w:rPr>
          <w:rFonts w:ascii="Arial" w:hAnsi="Arial" w:cs="Arial"/>
          <w:sz w:val="20"/>
          <w:szCs w:val="20"/>
        </w:rPr>
        <w:t xml:space="preserve">day history of bright red blood in the stool, accompanied by dizziness, worsening fatigue, and intermittent fevers. On admission to the hospital she was found to be profoundly </w:t>
      </w:r>
      <w:proofErr w:type="spellStart"/>
      <w:r w:rsidRPr="00B87BFB">
        <w:rPr>
          <w:rFonts w:ascii="Arial" w:hAnsi="Arial" w:cs="Arial"/>
          <w:sz w:val="20"/>
          <w:szCs w:val="20"/>
        </w:rPr>
        <w:t>pancytopenic</w:t>
      </w:r>
      <w:proofErr w:type="spellEnd"/>
      <w:r w:rsidRPr="00B87BFB">
        <w:rPr>
          <w:rFonts w:ascii="Arial" w:hAnsi="Arial" w:cs="Arial"/>
          <w:sz w:val="20"/>
          <w:szCs w:val="20"/>
        </w:rPr>
        <w:t xml:space="preserve">, with a white blood cell count of 1.9, hemoglobin of 8.5, hematocrit of 23.7, and platelet count of 8,000. Her absolute neutrophil count was 200. A bone marrow biopsy revealed markedly </w:t>
      </w:r>
      <w:proofErr w:type="spellStart"/>
      <w:r w:rsidRPr="00B87BFB">
        <w:rPr>
          <w:rFonts w:ascii="Arial" w:hAnsi="Arial" w:cs="Arial"/>
          <w:sz w:val="20"/>
          <w:szCs w:val="20"/>
        </w:rPr>
        <w:t>hypocellular</w:t>
      </w:r>
      <w:proofErr w:type="spellEnd"/>
      <w:r w:rsidRPr="00B87BFB">
        <w:rPr>
          <w:rFonts w:ascii="Arial" w:hAnsi="Arial" w:cs="Arial"/>
          <w:sz w:val="20"/>
          <w:szCs w:val="20"/>
        </w:rPr>
        <w:t xml:space="preserve"> marrow, with a cellularity of only 5-10% and minimal evidence of hematopoiesis. Based on this information she was given a diagnosis of aplastic anemia of unknown etiology. Her absolute neutrophil count of &lt; 500 and platelet count of &lt; 20,000 classified her diagnosis as severe aplastic anemia, the prognosis for which is poor.</w:t>
      </w:r>
    </w:p>
    <w:p w:rsidR="00B87BFB" w:rsidRPr="00B87BFB" w:rsidRDefault="00B87BFB" w:rsidP="00B87BFB">
      <w:pPr>
        <w:widowControl w:val="0"/>
        <w:autoSpaceDE w:val="0"/>
        <w:autoSpaceDN w:val="0"/>
        <w:adjustRightInd w:val="0"/>
        <w:rPr>
          <w:rFonts w:ascii="Arial" w:hAnsi="Arial" w:cs="Arial"/>
          <w:sz w:val="20"/>
          <w:szCs w:val="20"/>
        </w:rPr>
      </w:pPr>
      <w:r w:rsidRPr="00B87BFB">
        <w:rPr>
          <w:rFonts w:ascii="Arial" w:hAnsi="Arial" w:cs="Arial"/>
          <w:sz w:val="20"/>
          <w:szCs w:val="20"/>
        </w:rPr>
        <w:t xml:space="preserve">A careful medical and drug history revealed that the patient had been diagnosed with epilepsy approximately one year prior to admission and had undergone several drug trials at that time. Her most recent drug changes occurred five months prior to admission, when she began a </w:t>
      </w:r>
      <w:proofErr w:type="spellStart"/>
      <w:r w:rsidRPr="00B87BFB">
        <w:rPr>
          <w:rFonts w:ascii="Arial" w:hAnsi="Arial" w:cs="Arial"/>
          <w:sz w:val="20"/>
          <w:szCs w:val="20"/>
        </w:rPr>
        <w:t>lacosamide</w:t>
      </w:r>
      <w:proofErr w:type="spellEnd"/>
      <w:r w:rsidRPr="00B87BFB">
        <w:rPr>
          <w:rFonts w:ascii="Arial" w:hAnsi="Arial" w:cs="Arial"/>
          <w:sz w:val="20"/>
          <w:szCs w:val="20"/>
        </w:rPr>
        <w:t xml:space="preserve"> regimen. This treatment was quickly supplemented with </w:t>
      </w:r>
      <w:proofErr w:type="spellStart"/>
      <w:r w:rsidRPr="00B87BFB">
        <w:rPr>
          <w:rFonts w:ascii="Arial" w:hAnsi="Arial" w:cs="Arial"/>
          <w:sz w:val="20"/>
          <w:szCs w:val="20"/>
        </w:rPr>
        <w:t>zonisamide</w:t>
      </w:r>
      <w:proofErr w:type="spellEnd"/>
      <w:r w:rsidRPr="00B87BFB">
        <w:rPr>
          <w:rFonts w:ascii="Arial" w:hAnsi="Arial" w:cs="Arial"/>
          <w:sz w:val="20"/>
          <w:szCs w:val="20"/>
        </w:rPr>
        <w:t xml:space="preserve"> for breakthrough seizures. </w:t>
      </w:r>
      <w:proofErr w:type="spellStart"/>
      <w:r w:rsidRPr="00B87BFB">
        <w:rPr>
          <w:rFonts w:ascii="Arial" w:hAnsi="Arial" w:cs="Arial"/>
          <w:sz w:val="20"/>
          <w:szCs w:val="20"/>
        </w:rPr>
        <w:t>Zonisamide</w:t>
      </w:r>
      <w:proofErr w:type="spellEnd"/>
      <w:r w:rsidRPr="00B87BFB">
        <w:rPr>
          <w:rFonts w:ascii="Arial" w:hAnsi="Arial" w:cs="Arial"/>
          <w:sz w:val="20"/>
          <w:szCs w:val="20"/>
        </w:rPr>
        <w:t xml:space="preserve"> is a drug in the sulfonamide class and carries with it a known, albeit rare, association with aplastic anemia. For this reason, regular safety monitoring in the form of scheduled CBCs is recommended. This patient however, was not informed of this potential side effect, nor was she warned of the signs and symptoms that she </w:t>
      </w:r>
      <w:proofErr w:type="gramStart"/>
      <w:r w:rsidRPr="00B87BFB">
        <w:rPr>
          <w:rFonts w:ascii="Arial" w:hAnsi="Arial" w:cs="Arial"/>
          <w:sz w:val="20"/>
          <w:szCs w:val="20"/>
        </w:rPr>
        <w:t>may</w:t>
      </w:r>
      <w:proofErr w:type="gramEnd"/>
      <w:r w:rsidRPr="00B87BFB">
        <w:rPr>
          <w:rFonts w:ascii="Arial" w:hAnsi="Arial" w:cs="Arial"/>
          <w:sz w:val="20"/>
          <w:szCs w:val="20"/>
        </w:rPr>
        <w:t xml:space="preserve"> have been able to recognize as early signs of bone marrow dysfunction. In the 5 months between initiation of </w:t>
      </w:r>
      <w:proofErr w:type="spellStart"/>
      <w:r w:rsidRPr="00B87BFB">
        <w:rPr>
          <w:rFonts w:ascii="Arial" w:hAnsi="Arial" w:cs="Arial"/>
          <w:sz w:val="20"/>
          <w:szCs w:val="20"/>
        </w:rPr>
        <w:t>zonisamide</w:t>
      </w:r>
      <w:proofErr w:type="spellEnd"/>
      <w:r w:rsidRPr="00B87BFB">
        <w:rPr>
          <w:rFonts w:ascii="Arial" w:hAnsi="Arial" w:cs="Arial"/>
          <w:sz w:val="20"/>
          <w:szCs w:val="20"/>
        </w:rPr>
        <w:t xml:space="preserve"> therapy and presentation at the hospital, she did not undergo any form of blood count monitoring.</w:t>
      </w:r>
    </w:p>
    <w:p w:rsidR="00B87BFB" w:rsidRDefault="00B87BFB" w:rsidP="00B87BFB">
      <w:pPr>
        <w:widowControl w:val="0"/>
        <w:autoSpaceDE w:val="0"/>
        <w:autoSpaceDN w:val="0"/>
        <w:adjustRightInd w:val="0"/>
        <w:rPr>
          <w:rFonts w:ascii="Arial" w:hAnsi="Arial" w:cs="Arial"/>
          <w:sz w:val="20"/>
          <w:szCs w:val="20"/>
        </w:rPr>
      </w:pPr>
      <w:r w:rsidRPr="00B87BFB">
        <w:rPr>
          <w:rFonts w:ascii="Arial" w:hAnsi="Arial" w:cs="Arial"/>
          <w:sz w:val="20"/>
          <w:szCs w:val="20"/>
        </w:rPr>
        <w:t>The patient’s hospital course was further complicated by an intracranial hemorrhage, leading to a prolonged course in the intensive care unit. She remained transfusion-dependent throughout her stay, and her CBC upon discharge to a rehabilitation facility demonstrated no improvement from her initial pancytopenia.</w:t>
      </w:r>
    </w:p>
    <w:p w:rsidR="00B87BFB" w:rsidRPr="00B87BFB" w:rsidRDefault="00B87BFB" w:rsidP="00B87BFB">
      <w:pPr>
        <w:widowControl w:val="0"/>
        <w:autoSpaceDE w:val="0"/>
        <w:autoSpaceDN w:val="0"/>
        <w:adjustRightInd w:val="0"/>
        <w:rPr>
          <w:rFonts w:ascii="Arial" w:hAnsi="Arial" w:cs="Arial"/>
          <w:sz w:val="20"/>
          <w:szCs w:val="20"/>
        </w:rPr>
      </w:pPr>
    </w:p>
    <w:p w:rsidR="00DF3882" w:rsidRPr="00B87BFB" w:rsidRDefault="00B87BFB" w:rsidP="00B87BFB">
      <w:pPr>
        <w:rPr>
          <w:rFonts w:ascii="Arial" w:hAnsi="Arial" w:cs="Arial"/>
          <w:sz w:val="20"/>
          <w:szCs w:val="20"/>
        </w:rPr>
      </w:pPr>
      <w:r w:rsidRPr="00B87BFB">
        <w:rPr>
          <w:rFonts w:ascii="Arial" w:hAnsi="Arial" w:cs="Arial"/>
          <w:b/>
          <w:bCs/>
          <w:sz w:val="20"/>
          <w:szCs w:val="20"/>
        </w:rPr>
        <w:t>Discussion:</w:t>
      </w:r>
      <w:r w:rsidRPr="00B87BFB">
        <w:rPr>
          <w:rFonts w:ascii="Arial" w:hAnsi="Arial" w:cs="Arial"/>
          <w:sz w:val="20"/>
          <w:szCs w:val="20"/>
        </w:rPr>
        <w:t xml:space="preserve"> This patient’s unfortunate case demonstrates the fundamental importance of physician-patient communication with regards to the potential side effects and toxicities </w:t>
      </w:r>
      <w:proofErr w:type="gramStart"/>
      <w:r w:rsidRPr="00B87BFB">
        <w:rPr>
          <w:rFonts w:ascii="Arial" w:hAnsi="Arial" w:cs="Arial"/>
          <w:sz w:val="20"/>
          <w:szCs w:val="20"/>
        </w:rPr>
        <w:t>associated</w:t>
      </w:r>
      <w:proofErr w:type="gramEnd"/>
      <w:r w:rsidRPr="00B87BFB">
        <w:rPr>
          <w:rFonts w:ascii="Arial" w:hAnsi="Arial" w:cs="Arial"/>
          <w:sz w:val="20"/>
          <w:szCs w:val="20"/>
        </w:rPr>
        <w:t xml:space="preserve"> with various medications. This communication is especially important in a scenario like this, when the initiation of a new anti-epileptic drug regimen involves rapid and frequent treatment modifications. It is impossible to know whether appropriate safety monitoring would have changed the course of this patient’s disease. However, adherence to these guidelines may have resulted in early recognition and action, potentially preventing some of the more tragic </w:t>
      </w:r>
      <w:proofErr w:type="spellStart"/>
      <w:r w:rsidRPr="00B87BFB">
        <w:rPr>
          <w:rFonts w:ascii="Arial" w:hAnsi="Arial" w:cs="Arial"/>
          <w:sz w:val="20"/>
          <w:szCs w:val="20"/>
        </w:rPr>
        <w:t>sequellae</w:t>
      </w:r>
      <w:proofErr w:type="spellEnd"/>
      <w:r w:rsidRPr="00B87BFB">
        <w:rPr>
          <w:rFonts w:ascii="Arial" w:hAnsi="Arial" w:cs="Arial"/>
          <w:sz w:val="20"/>
          <w:szCs w:val="20"/>
        </w:rPr>
        <w:t xml:space="preserve"> of her disease.</w:t>
      </w:r>
    </w:p>
    <w:sectPr w:rsidR="00DF3882" w:rsidRPr="00B87BFB" w:rsidSect="007B5D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BFB"/>
    <w:rsid w:val="007B5D63"/>
    <w:rsid w:val="00B87BFB"/>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497</Words>
  <Characters>2835</Characters>
  <Application>Microsoft Macintosh Word</Application>
  <DocSecurity>0</DocSecurity>
  <Lines>23</Lines>
  <Paragraphs>6</Paragraphs>
  <ScaleCrop>false</ScaleCrop>
  <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2017-07-17T14:27:00Z</dcterms:created>
  <dcterms:modified xsi:type="dcterms:W3CDTF">2017-07-17T14:30:00Z</dcterms:modified>
</cp:coreProperties>
</file>